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E440" w14:textId="6C773175" w:rsidR="00D40DDD" w:rsidRDefault="00D01A58">
      <w:pPr>
        <w:pStyle w:val="Heading1"/>
      </w:pPr>
      <w:bookmarkStart w:id="0" w:name="X936b6b7b5f385cacbd1a21a6e080e9bea830600"/>
      <w:r>
        <w:t>Patient Group meeting</w:t>
      </w:r>
    </w:p>
    <w:p w14:paraId="44D0E441" w14:textId="77777777" w:rsidR="00D40DDD" w:rsidRDefault="00844AFA">
      <w:r>
        <w:pict w14:anchorId="44D0E482">
          <v:rect id="_x0000_i1025" style="width:0;height:1.5pt" o:hralign="center" o:hrstd="t" o:hr="t"/>
        </w:pict>
      </w:r>
    </w:p>
    <w:p w14:paraId="746445B9" w14:textId="77777777" w:rsidR="00D01A58" w:rsidRDefault="00844AFA">
      <w:pPr>
        <w:pStyle w:val="BlockText"/>
      </w:pPr>
      <w:r>
        <w:t>Date: 2026-07-15</w:t>
      </w:r>
      <w:r>
        <w:br/>
        <w:t xml:space="preserve">Location: </w:t>
      </w:r>
      <w:r w:rsidR="00D01A58">
        <w:t>AMC</w:t>
      </w:r>
    </w:p>
    <w:p w14:paraId="69FDF9DE" w14:textId="3F22849D" w:rsidR="000D582B" w:rsidRDefault="00844AFA">
      <w:pPr>
        <w:pStyle w:val="BlockText"/>
      </w:pPr>
      <w:r>
        <w:t xml:space="preserve">Participants: </w:t>
      </w:r>
      <w:r w:rsidR="00D01A58">
        <w:t>Bernice, Cat, Kevin, Vicki F, Helen P</w:t>
      </w:r>
      <w:r w:rsidR="002E1284">
        <w:t>, Lisa S PCN Manager</w:t>
      </w:r>
      <w:r w:rsidR="000D582B">
        <w:t xml:space="preserve"> </w:t>
      </w:r>
    </w:p>
    <w:p w14:paraId="44D0E442" w14:textId="4049CB03" w:rsidR="00D40DDD" w:rsidRDefault="000D582B">
      <w:pPr>
        <w:pStyle w:val="BlockText"/>
      </w:pPr>
      <w:r>
        <w:t>Apologies Sue and Elizabeth.</w:t>
      </w:r>
    </w:p>
    <w:p w14:paraId="40E66292" w14:textId="77777777" w:rsidR="000D582B" w:rsidRPr="000D582B" w:rsidRDefault="000D582B" w:rsidP="000D582B">
      <w:pPr>
        <w:pStyle w:val="BodyText"/>
      </w:pPr>
    </w:p>
    <w:p w14:paraId="44D0E443" w14:textId="77777777" w:rsidR="00D40DDD" w:rsidRDefault="00844AFA">
      <w:pPr>
        <w:pStyle w:val="Heading2"/>
      </w:pPr>
      <w:bookmarkStart w:id="1" w:name="meeting-notes"/>
      <w:r>
        <w:t>Meeting Notes</w:t>
      </w:r>
    </w:p>
    <w:p w14:paraId="44D0E444" w14:textId="77777777" w:rsidR="00D40DDD" w:rsidRDefault="00844AFA">
      <w:pPr>
        <w:pStyle w:val="Heading3"/>
      </w:pPr>
      <w:bookmarkStart w:id="2" w:name="practice-statistics-update"/>
      <w:r>
        <w:t>Practice Statistics Update</w:t>
      </w:r>
    </w:p>
    <w:p w14:paraId="44D0E445" w14:textId="7921EAB0" w:rsidR="00D40DDD" w:rsidRDefault="000D582B">
      <w:pPr>
        <w:pStyle w:val="Compact"/>
        <w:numPr>
          <w:ilvl w:val="0"/>
          <w:numId w:val="6"/>
        </w:numPr>
      </w:pPr>
      <w:r>
        <w:t>Vikki presented visual statistics compared the current period with 2025.</w:t>
      </w:r>
    </w:p>
    <w:p w14:paraId="44D0E446" w14:textId="77777777" w:rsidR="00D40DDD" w:rsidRDefault="00844AFA">
      <w:pPr>
        <w:pStyle w:val="Compact"/>
        <w:numPr>
          <w:ilvl w:val="0"/>
          <w:numId w:val="6"/>
        </w:numPr>
      </w:pPr>
      <w:r>
        <w:t>GP face-to-face appointments have risen by nearly 100 per month on average.</w:t>
      </w:r>
    </w:p>
    <w:p w14:paraId="44D0E447" w14:textId="77777777" w:rsidR="00D40DDD" w:rsidRDefault="00844AFA">
      <w:pPr>
        <w:pStyle w:val="Compact"/>
        <w:numPr>
          <w:ilvl w:val="0"/>
          <w:numId w:val="6"/>
        </w:numPr>
      </w:pPr>
      <w:r>
        <w:t>Telephone calls, home visits, and nurse appointments remain broadly unchanged.</w:t>
      </w:r>
    </w:p>
    <w:p w14:paraId="44D0E448" w14:textId="77777777" w:rsidR="00D40DDD" w:rsidRDefault="00844AFA">
      <w:pPr>
        <w:pStyle w:val="Compact"/>
        <w:numPr>
          <w:ilvl w:val="0"/>
          <w:numId w:val="6"/>
        </w:numPr>
      </w:pPr>
      <w:r>
        <w:t>The hoped-for decrease in phone calls and increase in triage has not materialised.</w:t>
      </w:r>
    </w:p>
    <w:p w14:paraId="44D0E449" w14:textId="77777777" w:rsidR="00D40DDD" w:rsidRDefault="00844AFA">
      <w:pPr>
        <w:pStyle w:val="Compact"/>
        <w:numPr>
          <w:ilvl w:val="0"/>
          <w:numId w:val="6"/>
        </w:numPr>
      </w:pPr>
      <w:r>
        <w:t>It was noted phone calls may have reached a ceiling as not all patients can use online services.</w:t>
      </w:r>
    </w:p>
    <w:p w14:paraId="44D0E44A" w14:textId="77777777" w:rsidR="00D40DDD" w:rsidRDefault="00844AFA">
      <w:pPr>
        <w:pStyle w:val="Heading3"/>
      </w:pPr>
      <w:bookmarkStart w:id="3" w:name="rsv-vaccination-campaign"/>
      <w:bookmarkEnd w:id="2"/>
      <w:r>
        <w:t>RSV Vaccination Campaign</w:t>
      </w:r>
    </w:p>
    <w:p w14:paraId="44D0E44B" w14:textId="77777777" w:rsidR="00D40DDD" w:rsidRDefault="00844AFA">
      <w:pPr>
        <w:pStyle w:val="Compact"/>
        <w:numPr>
          <w:ilvl w:val="0"/>
          <w:numId w:val="7"/>
        </w:numPr>
      </w:pPr>
      <w:r>
        <w:t>A major Respiratory Syncytial Virus (RSV) vaccination campaign is underway.</w:t>
      </w:r>
    </w:p>
    <w:p w14:paraId="44D0E44C" w14:textId="77777777" w:rsidR="00D40DDD" w:rsidRDefault="00844AFA">
      <w:pPr>
        <w:pStyle w:val="Compact"/>
        <w:numPr>
          <w:ilvl w:val="0"/>
          <w:numId w:val="7"/>
        </w:numPr>
      </w:pPr>
      <w:r>
        <w:t>Sessions run every Saturday, vaccinating approximately 60 patients every three weeks.</w:t>
      </w:r>
    </w:p>
    <w:p w14:paraId="44D0E44D" w14:textId="77777777" w:rsidR="00D40DDD" w:rsidRDefault="00844AFA">
      <w:pPr>
        <w:pStyle w:val="Compact"/>
        <w:numPr>
          <w:ilvl w:val="0"/>
          <w:numId w:val="7"/>
        </w:numPr>
      </w:pPr>
      <w:r>
        <w:t>This aims to avoid overloading the autumn campaign, which will include flu and COVID vaccinations.</w:t>
      </w:r>
    </w:p>
    <w:p w14:paraId="44D0E44E" w14:textId="77777777" w:rsidR="00D40DDD" w:rsidRDefault="00844AFA">
      <w:pPr>
        <w:pStyle w:val="Heading3"/>
      </w:pPr>
      <w:bookmarkStart w:id="4" w:name="community-cancer-champions"/>
      <w:bookmarkEnd w:id="3"/>
      <w:r>
        <w:t>Community Cancer Champions</w:t>
      </w:r>
    </w:p>
    <w:p w14:paraId="44D0E44F" w14:textId="1E823BB2" w:rsidR="00D40DDD" w:rsidRDefault="00D41E7F">
      <w:pPr>
        <w:pStyle w:val="Compact"/>
        <w:numPr>
          <w:ilvl w:val="0"/>
          <w:numId w:val="8"/>
        </w:numPr>
      </w:pPr>
      <w:r>
        <w:t>Bernice completed online training to become a Community Cancer Champion.</w:t>
      </w:r>
    </w:p>
    <w:p w14:paraId="44D0E450" w14:textId="77777777" w:rsidR="00D40DDD" w:rsidRDefault="00844AFA">
      <w:pPr>
        <w:pStyle w:val="Compact"/>
        <w:numPr>
          <w:ilvl w:val="0"/>
          <w:numId w:val="8"/>
        </w:numPr>
      </w:pPr>
      <w:r>
        <w:t>The course covered what cancer is, NHS and local services, and empowering people to have conversations about cancer.</w:t>
      </w:r>
    </w:p>
    <w:p w14:paraId="44D0E451" w14:textId="77777777" w:rsidR="00D40DDD" w:rsidRDefault="00844AFA">
      <w:pPr>
        <w:pStyle w:val="Compact"/>
        <w:numPr>
          <w:ilvl w:val="0"/>
          <w:numId w:val="8"/>
        </w:numPr>
      </w:pPr>
      <w:r>
        <w:t>The presenter (Sophie) is willing to deliver a two-hour session for the group.</w:t>
      </w:r>
    </w:p>
    <w:p w14:paraId="44D0E452" w14:textId="77777777" w:rsidR="00D40DDD" w:rsidRDefault="00844AFA">
      <w:pPr>
        <w:pStyle w:val="Compact"/>
        <w:numPr>
          <w:ilvl w:val="0"/>
          <w:numId w:val="8"/>
        </w:numPr>
      </w:pPr>
      <w:r>
        <w:t>It was suggested Sophie could host a pop-up at the October flu clinics to speak directly with patients.</w:t>
      </w:r>
    </w:p>
    <w:p w14:paraId="44D0E453" w14:textId="7FA7B57F" w:rsidR="00D40DDD" w:rsidRDefault="00844AFA">
      <w:pPr>
        <w:pStyle w:val="Compact"/>
        <w:numPr>
          <w:ilvl w:val="0"/>
          <w:numId w:val="8"/>
        </w:numPr>
      </w:pPr>
      <w:r>
        <w:t xml:space="preserve">Flu clinic dates are 10 </w:t>
      </w:r>
      <w:proofErr w:type="gramStart"/>
      <w:r>
        <w:t>October</w:t>
      </w:r>
      <w:proofErr w:type="gramEnd"/>
      <w:r>
        <w:t xml:space="preserve"> and </w:t>
      </w:r>
      <w:r w:rsidR="00D41E7F">
        <w:t>31</w:t>
      </w:r>
      <w:r w:rsidR="00D41E7F" w:rsidRPr="00D41E7F">
        <w:rPr>
          <w:vertAlign w:val="superscript"/>
        </w:rPr>
        <w:t>st</w:t>
      </w:r>
      <w:r w:rsidR="00D41E7F">
        <w:t xml:space="preserve"> October</w:t>
      </w:r>
      <w:r>
        <w:t xml:space="preserve"> was also mentioned </w:t>
      </w:r>
    </w:p>
    <w:p w14:paraId="75298837" w14:textId="77777777" w:rsidR="000B57C1" w:rsidRDefault="000B57C1" w:rsidP="000B57C1">
      <w:pPr>
        <w:pStyle w:val="Compact"/>
        <w:ind w:left="720"/>
      </w:pPr>
    </w:p>
    <w:p w14:paraId="588DF62C" w14:textId="77777777" w:rsidR="000B57C1" w:rsidRDefault="000B57C1" w:rsidP="000B57C1">
      <w:pPr>
        <w:pStyle w:val="Compact"/>
        <w:ind w:left="720"/>
      </w:pPr>
    </w:p>
    <w:p w14:paraId="44D0E454" w14:textId="77777777" w:rsidR="00D40DDD" w:rsidRDefault="00844AFA">
      <w:pPr>
        <w:pStyle w:val="Heading3"/>
      </w:pPr>
      <w:bookmarkStart w:id="5" w:name="dementia-awareness-update"/>
      <w:bookmarkEnd w:id="4"/>
      <w:r>
        <w:t>Dementia Awareness Update</w:t>
      </w:r>
    </w:p>
    <w:p w14:paraId="44D0E455" w14:textId="3D970FAA" w:rsidR="00D40DDD" w:rsidRDefault="000B57C1">
      <w:pPr>
        <w:pStyle w:val="Compact"/>
        <w:numPr>
          <w:ilvl w:val="0"/>
          <w:numId w:val="9"/>
        </w:numPr>
      </w:pPr>
      <w:r>
        <w:t xml:space="preserve">Cat attended a dementia awareness event, including how businesses can be more </w:t>
      </w:r>
      <w:proofErr w:type="gramStart"/>
      <w:r>
        <w:t>dementia-friendly</w:t>
      </w:r>
      <w:proofErr w:type="gramEnd"/>
      <w:r>
        <w:t>.</w:t>
      </w:r>
    </w:p>
    <w:p w14:paraId="44D0E456" w14:textId="77777777" w:rsidR="00D40DDD" w:rsidRDefault="00844AFA">
      <w:pPr>
        <w:pStyle w:val="Compact"/>
        <w:numPr>
          <w:ilvl w:val="0"/>
          <w:numId w:val="9"/>
        </w:numPr>
      </w:pPr>
      <w:r>
        <w:t>Example: certain floor patterns can distract people with dementia.</w:t>
      </w:r>
    </w:p>
    <w:p w14:paraId="44D0E457" w14:textId="77777777" w:rsidR="00D40DDD" w:rsidRDefault="00844AFA">
      <w:pPr>
        <w:pStyle w:val="Compact"/>
        <w:numPr>
          <w:ilvl w:val="0"/>
          <w:numId w:val="9"/>
        </w:numPr>
      </w:pPr>
      <w:r>
        <w:t>The group promoted a “singing one” event at the abbey.</w:t>
      </w:r>
    </w:p>
    <w:p w14:paraId="44D0E458" w14:textId="77777777" w:rsidR="00D40DDD" w:rsidRDefault="00844AFA">
      <w:pPr>
        <w:pStyle w:val="Compact"/>
        <w:numPr>
          <w:ilvl w:val="0"/>
          <w:numId w:val="9"/>
        </w:numPr>
      </w:pPr>
      <w:r>
        <w:t>Lindsay, the community builder, is now trained to deliver 45-minute Dementia Friends sessions, which could be useful for a clinical governance meeting.</w:t>
      </w:r>
    </w:p>
    <w:p w14:paraId="44D0E45A" w14:textId="77777777" w:rsidR="00D40DDD" w:rsidRDefault="00844AFA">
      <w:pPr>
        <w:pStyle w:val="Heading3"/>
      </w:pPr>
      <w:bookmarkStart w:id="6" w:name="Xf35e5ffb08004b1507f5471594f0b4d4cf91c27"/>
      <w:bookmarkEnd w:id="5"/>
      <w:r>
        <w:t>Patient Participation Group (PPG) Promotion</w:t>
      </w:r>
    </w:p>
    <w:p w14:paraId="44D0E45B" w14:textId="77777777" w:rsidR="00D40DDD" w:rsidRDefault="00844AFA">
      <w:pPr>
        <w:pStyle w:val="Compact"/>
        <w:numPr>
          <w:ilvl w:val="0"/>
          <w:numId w:val="10"/>
        </w:numPr>
      </w:pPr>
      <w:r>
        <w:t>Biographies of PPG members have been prepared for the website to inform about the group.</w:t>
      </w:r>
    </w:p>
    <w:p w14:paraId="44D0E45C" w14:textId="77777777" w:rsidR="00D40DDD" w:rsidRDefault="00844AFA">
      <w:pPr>
        <w:pStyle w:val="Compact"/>
        <w:numPr>
          <w:ilvl w:val="0"/>
          <w:numId w:val="10"/>
        </w:numPr>
      </w:pPr>
      <w:r>
        <w:t>Strong interest in joining the PPG followed a recent survey, with about 20 enquiries.</w:t>
      </w:r>
    </w:p>
    <w:p w14:paraId="44D0E45D" w14:textId="77777777" w:rsidR="00D40DDD" w:rsidRDefault="00844AFA">
      <w:pPr>
        <w:pStyle w:val="Compact"/>
        <w:numPr>
          <w:ilvl w:val="0"/>
          <w:numId w:val="10"/>
        </w:numPr>
      </w:pPr>
      <w:r>
        <w:t>The group discussed limiting new members to keep meetings effective, aiming for a maximum of around ten in total.</w:t>
      </w:r>
    </w:p>
    <w:p w14:paraId="44D0E45E" w14:textId="77777777" w:rsidR="00D40DDD" w:rsidRDefault="00844AFA">
      <w:pPr>
        <w:pStyle w:val="Compact"/>
        <w:numPr>
          <w:ilvl w:val="0"/>
          <w:numId w:val="10"/>
        </w:numPr>
      </w:pPr>
      <w:r>
        <w:t>A questionnaire will be sent to interested individuals to understand demographics and interests before selection.</w:t>
      </w:r>
    </w:p>
    <w:p w14:paraId="44D0E45F" w14:textId="77777777" w:rsidR="00D40DDD" w:rsidRDefault="00844AFA">
      <w:pPr>
        <w:pStyle w:val="Heading3"/>
      </w:pPr>
      <w:bookmarkStart w:id="7" w:name="website-and-practice-operations"/>
      <w:bookmarkEnd w:id="6"/>
      <w:r>
        <w:t>Website and Practice Operations</w:t>
      </w:r>
    </w:p>
    <w:p w14:paraId="44D0E460" w14:textId="77777777" w:rsidR="00D40DDD" w:rsidRDefault="00844AFA">
      <w:pPr>
        <w:pStyle w:val="Compact"/>
        <w:numPr>
          <w:ilvl w:val="0"/>
          <w:numId w:val="11"/>
        </w:numPr>
      </w:pPr>
      <w:r>
        <w:t>The current website provider is ceasing service; a new website must be developed.</w:t>
      </w:r>
    </w:p>
    <w:p w14:paraId="44D0E461" w14:textId="77777777" w:rsidR="00D40DDD" w:rsidRDefault="00844AFA">
      <w:pPr>
        <w:pStyle w:val="Compact"/>
        <w:numPr>
          <w:ilvl w:val="0"/>
          <w:numId w:val="11"/>
        </w:numPr>
      </w:pPr>
      <w:r>
        <w:t>The team will shortlist new providers and present options at the next meeting, aiming to retain practice branding.</w:t>
      </w:r>
    </w:p>
    <w:p w14:paraId="44D0E462" w14:textId="77777777" w:rsidR="00D40DDD" w:rsidRDefault="00844AFA">
      <w:pPr>
        <w:pStyle w:val="Compact"/>
        <w:numPr>
          <w:ilvl w:val="0"/>
          <w:numId w:val="11"/>
        </w:numPr>
      </w:pPr>
      <w:r>
        <w:t>A recent heatwave saw some rooms reach 35°C. Fans have now been provided for all rooms.</w:t>
      </w:r>
    </w:p>
    <w:p w14:paraId="44D0E463" w14:textId="77777777" w:rsidR="00D40DDD" w:rsidRDefault="00844AFA">
      <w:pPr>
        <w:pStyle w:val="Compact"/>
        <w:numPr>
          <w:ilvl w:val="0"/>
          <w:numId w:val="11"/>
        </w:numPr>
      </w:pPr>
      <w:r>
        <w:t>Heat created challenges for storing drugs on the emergency trolley and blood samples, which were moved to air-conditioned areas.</w:t>
      </w:r>
    </w:p>
    <w:p w14:paraId="44D0E464" w14:textId="77777777" w:rsidR="00D40DDD" w:rsidRDefault="00844AFA">
      <w:pPr>
        <w:pStyle w:val="Compact"/>
        <w:numPr>
          <w:ilvl w:val="0"/>
          <w:numId w:val="11"/>
        </w:numPr>
      </w:pPr>
      <w:r>
        <w:t>An “aircon project” was mentioned as a potential future initiative.</w:t>
      </w:r>
    </w:p>
    <w:p w14:paraId="44D0E465" w14:textId="77777777" w:rsidR="00D40DDD" w:rsidRDefault="00844AFA">
      <w:pPr>
        <w:pStyle w:val="Heading3"/>
      </w:pPr>
      <w:bookmarkStart w:id="8" w:name="autumn-flu-and-covid-clinics"/>
      <w:bookmarkEnd w:id="7"/>
      <w:r>
        <w:t>Autumn Flu and COVID Clinics</w:t>
      </w:r>
    </w:p>
    <w:p w14:paraId="44D0E466" w14:textId="77777777" w:rsidR="00D40DDD" w:rsidRDefault="00844AFA">
      <w:pPr>
        <w:pStyle w:val="Compact"/>
        <w:numPr>
          <w:ilvl w:val="0"/>
          <w:numId w:val="12"/>
        </w:numPr>
      </w:pPr>
      <w:r>
        <w:t>Planning for autumn vaccination clinics is underway.</w:t>
      </w:r>
    </w:p>
    <w:p w14:paraId="44D0E467" w14:textId="77777777" w:rsidR="00D40DDD" w:rsidRDefault="00844AFA">
      <w:pPr>
        <w:pStyle w:val="Compact"/>
        <w:numPr>
          <w:ilvl w:val="0"/>
          <w:numId w:val="12"/>
        </w:numPr>
      </w:pPr>
      <w:r>
        <w:t>A clinic for children and pregnant women is scheduled for the morning of 19 September 2026.</w:t>
      </w:r>
    </w:p>
    <w:p w14:paraId="44D0E468" w14:textId="77777777" w:rsidR="00D40DDD" w:rsidRDefault="00844AFA">
      <w:pPr>
        <w:pStyle w:val="Compact"/>
        <w:numPr>
          <w:ilvl w:val="0"/>
          <w:numId w:val="12"/>
        </w:numPr>
      </w:pPr>
      <w:r>
        <w:t>Two large “super clinics” for the general population are set for 10 October and 31 October 2026.</w:t>
      </w:r>
    </w:p>
    <w:p w14:paraId="44D0E469" w14:textId="77777777" w:rsidR="00D40DDD" w:rsidRDefault="00844AFA">
      <w:pPr>
        <w:pStyle w:val="Compact"/>
        <w:numPr>
          <w:ilvl w:val="0"/>
          <w:numId w:val="12"/>
        </w:numPr>
      </w:pPr>
      <w:r>
        <w:t>Volunteers are requested for marshalling on 10 and 31 October, for morning (08:30–12:30) or afternoon (13:00–17:00) shifts.</w:t>
      </w:r>
    </w:p>
    <w:p w14:paraId="44D0E46A" w14:textId="77777777" w:rsidR="00D40DDD" w:rsidRDefault="00844AFA">
      <w:pPr>
        <w:pStyle w:val="Compact"/>
        <w:numPr>
          <w:ilvl w:val="0"/>
          <w:numId w:val="12"/>
        </w:numPr>
      </w:pPr>
      <w:r>
        <w:t>The aim is to vaccinate around 4,000 patients in October.</w:t>
      </w:r>
    </w:p>
    <w:p w14:paraId="44D0E46B" w14:textId="6C424BA6" w:rsidR="00D40DDD" w:rsidRDefault="00844AFA">
      <w:pPr>
        <w:pStyle w:val="Heading3"/>
      </w:pPr>
      <w:bookmarkStart w:id="9" w:name="X792b65b35e24de2bf3f44c171f23cc37390f68a"/>
      <w:bookmarkEnd w:id="8"/>
      <w:r>
        <w:t>Health Promotion and Community Engagement</w:t>
      </w:r>
      <w:r w:rsidR="002E1284">
        <w:t xml:space="preserve"> – presented by Lisa S</w:t>
      </w:r>
    </w:p>
    <w:p w14:paraId="44D0E46C" w14:textId="785C0F45" w:rsidR="00D40DDD" w:rsidRDefault="00844AFA">
      <w:pPr>
        <w:pStyle w:val="Compact"/>
        <w:numPr>
          <w:ilvl w:val="0"/>
          <w:numId w:val="13"/>
        </w:numPr>
      </w:pPr>
      <w:r>
        <w:lastRenderedPageBreak/>
        <w:t>A health and wellbeing section now features on page 11 of the ‘</w:t>
      </w:r>
      <w:proofErr w:type="spellStart"/>
      <w:r w:rsidR="002E1284">
        <w:t>Pershore</w:t>
      </w:r>
      <w:proofErr w:type="spellEnd"/>
      <w:r>
        <w:t xml:space="preserve"> Times’ magazine.</w:t>
      </w:r>
    </w:p>
    <w:p w14:paraId="44D0E46D" w14:textId="77777777" w:rsidR="00D40DDD" w:rsidRDefault="00844AFA">
      <w:pPr>
        <w:pStyle w:val="Compact"/>
        <w:numPr>
          <w:ilvl w:val="0"/>
          <w:numId w:val="13"/>
        </w:numPr>
      </w:pPr>
      <w:r>
        <w:t>Past topics included Men’s Health; the July edition will focus on vaccinations.</w:t>
      </w:r>
    </w:p>
    <w:p w14:paraId="44D0E46E" w14:textId="77777777" w:rsidR="00D40DDD" w:rsidRDefault="00844AFA">
      <w:pPr>
        <w:pStyle w:val="Compact"/>
        <w:numPr>
          <w:ilvl w:val="0"/>
          <w:numId w:val="13"/>
        </w:numPr>
      </w:pPr>
      <w:r>
        <w:t>October’s article is planned on breast cancer screening.</w:t>
      </w:r>
    </w:p>
    <w:p w14:paraId="44D0E46F" w14:textId="3B119FCE" w:rsidR="00D40DDD" w:rsidRDefault="00844AFA">
      <w:pPr>
        <w:pStyle w:val="Compact"/>
        <w:numPr>
          <w:ilvl w:val="0"/>
          <w:numId w:val="13"/>
        </w:numPr>
      </w:pPr>
      <w:r>
        <w:t>Community engagement includes visits to the community cafe</w:t>
      </w:r>
      <w:r w:rsidR="00857770">
        <w:t>s.</w:t>
      </w:r>
    </w:p>
    <w:p w14:paraId="44D0E470" w14:textId="77777777" w:rsidR="00D40DDD" w:rsidRDefault="00844AFA">
      <w:pPr>
        <w:pStyle w:val="Compact"/>
        <w:numPr>
          <w:ilvl w:val="0"/>
          <w:numId w:val="13"/>
        </w:numPr>
      </w:pPr>
      <w:r>
        <w:t>Focus areas include Pinvin, Throckmorton, and Abbey Park, which have higher hospital admission rates.</w:t>
      </w:r>
    </w:p>
    <w:p w14:paraId="44D0E471" w14:textId="434BCCE6" w:rsidR="00D40DDD" w:rsidRDefault="00844AFA">
      <w:pPr>
        <w:pStyle w:val="Compact"/>
        <w:numPr>
          <w:ilvl w:val="0"/>
          <w:numId w:val="13"/>
        </w:numPr>
      </w:pPr>
      <w:r>
        <w:t xml:space="preserve">Challenges engaging </w:t>
      </w:r>
      <w:proofErr w:type="gramStart"/>
      <w:r>
        <w:t>specific</w:t>
      </w:r>
      <w:proofErr w:type="gramEnd"/>
      <w:r>
        <w:t xml:space="preserve"> </w:t>
      </w:r>
      <w:r w:rsidR="000E080C">
        <w:t xml:space="preserve">hard to reach </w:t>
      </w:r>
      <w:proofErr w:type="gramStart"/>
      <w:r>
        <w:t>populations,</w:t>
      </w:r>
      <w:proofErr w:type="gramEnd"/>
      <w:r>
        <w:t xml:space="preserve"> were discussed due to illiteracy and preference for on-the-day appointments.</w:t>
      </w:r>
    </w:p>
    <w:p w14:paraId="44D0E472" w14:textId="77777777" w:rsidR="00D40DDD" w:rsidRDefault="00844AFA">
      <w:pPr>
        <w:pStyle w:val="Heading2"/>
      </w:pPr>
      <w:bookmarkStart w:id="10" w:name="next-arrangements"/>
      <w:bookmarkEnd w:id="1"/>
      <w:bookmarkEnd w:id="9"/>
      <w:r>
        <w:t>Next Arrangements</w:t>
      </w:r>
    </w:p>
    <w:p w14:paraId="44D0E473" w14:textId="77777777" w:rsidR="00D40DDD" w:rsidRDefault="00844AFA">
      <w:pPr>
        <w:pStyle w:val="Compact"/>
        <w:numPr>
          <w:ilvl w:val="0"/>
          <w:numId w:val="14"/>
        </w:numPr>
      </w:pPr>
      <w:r>
        <w:t>Resend the minutes of the last meeting to those who did not receive them.</w:t>
      </w:r>
    </w:p>
    <w:p w14:paraId="44D0E474" w14:textId="5F12A0F4" w:rsidR="00D40DDD" w:rsidRDefault="000E080C">
      <w:pPr>
        <w:pStyle w:val="Compact"/>
        <w:numPr>
          <w:ilvl w:val="0"/>
          <w:numId w:val="15"/>
        </w:numPr>
      </w:pPr>
      <w:r>
        <w:t>Bern</w:t>
      </w:r>
      <w:r w:rsidR="00C93929">
        <w:t>ice</w:t>
      </w:r>
      <w:r>
        <w:t xml:space="preserve"> to contact Sophie to arrange a pop-up cancer awareness clinic at one of the October flu clinics.</w:t>
      </w:r>
    </w:p>
    <w:p w14:paraId="44D0E475" w14:textId="77777777" w:rsidR="00D40DDD" w:rsidRDefault="00844AFA">
      <w:pPr>
        <w:pStyle w:val="Compact"/>
        <w:numPr>
          <w:ilvl w:val="0"/>
          <w:numId w:val="16"/>
        </w:numPr>
      </w:pPr>
      <w:r>
        <w:t>Invite Lindsay to run a 45-minute Dementia Friends session at a future clinical governance meeting; agree timing and format.</w:t>
      </w:r>
    </w:p>
    <w:p w14:paraId="44D0E476" w14:textId="21222432" w:rsidR="00D40DDD" w:rsidRDefault="00C93929">
      <w:pPr>
        <w:pStyle w:val="Compact"/>
        <w:numPr>
          <w:ilvl w:val="0"/>
          <w:numId w:val="17"/>
        </w:numPr>
      </w:pPr>
      <w:r>
        <w:t>Vicki to create and send a questionnaire to the ~20 individuals who expressed interest in joining the PPG.</w:t>
      </w:r>
    </w:p>
    <w:p w14:paraId="44D0E477" w14:textId="77777777" w:rsidR="00D40DDD" w:rsidRDefault="00844AFA">
      <w:pPr>
        <w:pStyle w:val="Compact"/>
        <w:numPr>
          <w:ilvl w:val="0"/>
          <w:numId w:val="18"/>
        </w:numPr>
      </w:pPr>
      <w:r>
        <w:t>Define selection criteria (e.g., demographics, skills, interests) to keep PPG to around 10 members for effective meetings.</w:t>
      </w:r>
    </w:p>
    <w:p w14:paraId="44D0E478" w14:textId="77777777" w:rsidR="00D40DDD" w:rsidRDefault="00844AFA">
      <w:pPr>
        <w:pStyle w:val="Compact"/>
        <w:numPr>
          <w:ilvl w:val="0"/>
          <w:numId w:val="19"/>
        </w:numPr>
      </w:pPr>
      <w:r>
        <w:t>Shortlist 2–3 new website providers to present at the next meeting, ensuring retention of practice branding.</w:t>
      </w:r>
    </w:p>
    <w:p w14:paraId="44D0E479" w14:textId="77777777" w:rsidR="00D40DDD" w:rsidRDefault="00844AFA">
      <w:pPr>
        <w:pStyle w:val="Compact"/>
        <w:numPr>
          <w:ilvl w:val="0"/>
          <w:numId w:val="20"/>
        </w:numPr>
      </w:pPr>
      <w:r>
        <w:t>Assess heat-mitigation needs and outline an “aircon project” proposal (scope, budget, timelines) for review.</w:t>
      </w:r>
    </w:p>
    <w:p w14:paraId="44D0E47B" w14:textId="77777777" w:rsidR="00D40DDD" w:rsidRDefault="00844AFA">
      <w:pPr>
        <w:pStyle w:val="Compact"/>
        <w:numPr>
          <w:ilvl w:val="0"/>
          <w:numId w:val="22"/>
        </w:numPr>
      </w:pPr>
      <w:r>
        <w:t>PPG members to confirm availability to volunteer for marshalling at the flu clinics on 10 and 31 October (AM 08:30–12:30 / PM 13:00–17:00).</w:t>
      </w:r>
    </w:p>
    <w:p w14:paraId="44D0E47C" w14:textId="77777777" w:rsidR="00D40DDD" w:rsidRDefault="00844AFA">
      <w:pPr>
        <w:pStyle w:val="Compact"/>
        <w:numPr>
          <w:ilvl w:val="0"/>
          <w:numId w:val="23"/>
        </w:numPr>
      </w:pPr>
      <w:r>
        <w:t>Next meeting: 23 September 2026 at 13:00.</w:t>
      </w:r>
      <w:bookmarkEnd w:id="0"/>
      <w:bookmarkEnd w:id="10"/>
    </w:p>
    <w:sectPr w:rsidR="00D40DD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EA8829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C8FC136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A992"/>
    <w:multiLevelType w:val="multilevel"/>
    <w:tmpl w:val="39B43320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7" w15:restartNumberingAfterBreak="0">
    <w:nsid w:val="00A99411"/>
    <w:multiLevelType w:val="multilevel"/>
    <w:tmpl w:val="02220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1324772323">
    <w:abstractNumId w:val="4"/>
  </w:num>
  <w:num w:numId="6" w16cid:durableId="1818108723">
    <w:abstractNumId w:val="5"/>
  </w:num>
  <w:num w:numId="7" w16cid:durableId="1713771730">
    <w:abstractNumId w:val="5"/>
  </w:num>
  <w:num w:numId="8" w16cid:durableId="213548225">
    <w:abstractNumId w:val="5"/>
  </w:num>
  <w:num w:numId="9" w16cid:durableId="1687907803">
    <w:abstractNumId w:val="5"/>
  </w:num>
  <w:num w:numId="10" w16cid:durableId="1432313840">
    <w:abstractNumId w:val="5"/>
  </w:num>
  <w:num w:numId="11" w16cid:durableId="2102944782">
    <w:abstractNumId w:val="5"/>
  </w:num>
  <w:num w:numId="12" w16cid:durableId="136648451">
    <w:abstractNumId w:val="5"/>
  </w:num>
  <w:num w:numId="13" w16cid:durableId="703945753">
    <w:abstractNumId w:val="5"/>
  </w:num>
  <w:num w:numId="14" w16cid:durableId="1170218868">
    <w:abstractNumId w:val="6"/>
  </w:num>
  <w:num w:numId="15" w16cid:durableId="1661033848">
    <w:abstractNumId w:val="6"/>
  </w:num>
  <w:num w:numId="16" w16cid:durableId="1863085467">
    <w:abstractNumId w:val="6"/>
  </w:num>
  <w:num w:numId="17" w16cid:durableId="195772696">
    <w:abstractNumId w:val="6"/>
  </w:num>
  <w:num w:numId="18" w16cid:durableId="67922182">
    <w:abstractNumId w:val="6"/>
  </w:num>
  <w:num w:numId="19" w16cid:durableId="1652902335">
    <w:abstractNumId w:val="6"/>
  </w:num>
  <w:num w:numId="20" w16cid:durableId="755320954">
    <w:abstractNumId w:val="6"/>
  </w:num>
  <w:num w:numId="21" w16cid:durableId="511409858">
    <w:abstractNumId w:val="6"/>
  </w:num>
  <w:num w:numId="22" w16cid:durableId="1895700402">
    <w:abstractNumId w:val="6"/>
  </w:num>
  <w:num w:numId="23" w16cid:durableId="754975394">
    <w:abstractNumId w:val="6"/>
  </w:num>
  <w:num w:numId="24" w16cid:durableId="722949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00012906"/>
    <w:rsid w:val="000B57C1"/>
    <w:rsid w:val="000C1ABD"/>
    <w:rsid w:val="000D1E8A"/>
    <w:rsid w:val="000D582B"/>
    <w:rsid w:val="000E080C"/>
    <w:rsid w:val="000F3D3C"/>
    <w:rsid w:val="0011788E"/>
    <w:rsid w:val="00167011"/>
    <w:rsid w:val="001824E5"/>
    <w:rsid w:val="001A30C6"/>
    <w:rsid w:val="001B0185"/>
    <w:rsid w:val="001B2D28"/>
    <w:rsid w:val="001B2E68"/>
    <w:rsid w:val="00271600"/>
    <w:rsid w:val="00275E2C"/>
    <w:rsid w:val="00284976"/>
    <w:rsid w:val="00290063"/>
    <w:rsid w:val="002D5AAF"/>
    <w:rsid w:val="002E1284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0722"/>
    <w:rsid w:val="004B1E78"/>
    <w:rsid w:val="004D308B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B04C2"/>
    <w:rsid w:val="007453A1"/>
    <w:rsid w:val="007535F6"/>
    <w:rsid w:val="00786E81"/>
    <w:rsid w:val="007938B8"/>
    <w:rsid w:val="008033E1"/>
    <w:rsid w:val="0085162E"/>
    <w:rsid w:val="00857770"/>
    <w:rsid w:val="00865C7C"/>
    <w:rsid w:val="00900CCC"/>
    <w:rsid w:val="00932E5F"/>
    <w:rsid w:val="00962302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2306B"/>
    <w:rsid w:val="00B34BC6"/>
    <w:rsid w:val="00B5019A"/>
    <w:rsid w:val="00BF11CC"/>
    <w:rsid w:val="00C1108E"/>
    <w:rsid w:val="00C14B89"/>
    <w:rsid w:val="00C865AB"/>
    <w:rsid w:val="00C9144D"/>
    <w:rsid w:val="00C93929"/>
    <w:rsid w:val="00C94844"/>
    <w:rsid w:val="00D01A58"/>
    <w:rsid w:val="00D40DDD"/>
    <w:rsid w:val="00D41E7F"/>
    <w:rsid w:val="00DB673F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  <w:rsid w:val="F57A143E"/>
    <w:rsid w:val="FF53E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E440"/>
  <w15:docId w15:val="{6EA7A32A-C748-41DE-94BF-96193908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Number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Number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ListBullet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BlockText">
    <w:name w:val="Block Text"/>
    <w:basedOn w:val="BodyText"/>
    <w:next w:val="BodyText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Bullet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Date">
    <w:name w:val="Date"/>
    <w:next w:val="BodyText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itle">
    <w:name w:val="Subtitle"/>
    <w:basedOn w:val="Title"/>
    <w:next w:val="BodyText"/>
    <w:link w:val="SubtitleChar"/>
    <w:uiPriority w:val="11"/>
    <w:qFormat/>
    <w:rPr>
      <w:spacing w:val="15"/>
      <w:sz w:val="28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FootnoteText">
    <w:name w:val="footnote text"/>
    <w:basedOn w:val="Normal"/>
    <w:uiPriority w:val="9"/>
    <w:unhideWhenUsed/>
    <w:qFormat/>
  </w:style>
  <w:style w:type="character" w:styleId="Hyperlink">
    <w:name w:val="Hyperlink"/>
    <w:basedOn w:val="DefaultParagraphFont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CaptionChar">
    <w:name w:val="Caption Char"/>
    <w:basedOn w:val="DefaultParagraphFont"/>
    <w:link w:val="Caption"/>
  </w:style>
  <w:style w:type="character" w:styleId="FootnoteReference">
    <w:name w:val="footnote reference"/>
    <w:basedOn w:val="CaptionChar"/>
    <w:rPr>
      <w:vertAlign w:val="superscript"/>
    </w:rPr>
  </w:style>
  <w:style w:type="paragraph" w:customStyle="1" w:styleId="FirstParagraph">
    <w:name w:val="First Paragraph"/>
    <w:basedOn w:val="BodyText"/>
    <w:next w:val="BodyText"/>
    <w:qFormat/>
    <w:rsid w:val="00962302"/>
    <w:pPr>
      <w:spacing w:before="240"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Caption"/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CaptionCh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CaptionChar"/>
  </w:style>
  <w:style w:type="paragraph" w:customStyle="1" w:styleId="TOC1">
    <w:name w:val="TOC 标题1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FollowedHyperlink">
    <w:name w:val="FollowedHyperlink"/>
    <w:basedOn w:val="DefaultParagraphFont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Vicki (ABBOTTSWOOD MEDICAL CENTRE)</dc:creator>
  <cp:keywords/>
  <cp:lastModifiedBy>FISHER, Vicki (ABBOTTSWOOD MEDICAL CENTRE)</cp:lastModifiedBy>
  <cp:revision>3</cp:revision>
  <dcterms:created xsi:type="dcterms:W3CDTF">2026-07-17T12:32:00Z</dcterms:created>
  <dcterms:modified xsi:type="dcterms:W3CDTF">2026-07-17T12:35:00Z</dcterms:modified>
</cp:coreProperties>
</file>